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media/image8.jpeg" ContentType="image/jpeg"/>
  <Override PartName="/word/media/image7.jpeg" ContentType="image/jpeg"/>
  <Override PartName="/word/media/image5.jpeg" ContentType="image/jpeg"/>
  <Override PartName="/word/media/image4.jpeg" ContentType="image/jpeg"/>
  <Override PartName="/word/media/image3.jpeg" ContentType="image/jpeg"/>
  <Override PartName="/word/media/image2.jpeg" ContentType="image/jpeg"/>
  <Override PartName="/word/media/image6.png" ContentType="image/png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ind w:firstLine="142" w:left="-142" w:right="0"/>
        <w:jc w:val="both"/>
      </w:pPr>
      <w:r>
        <w:rPr>
          <w:sz w:val="28"/>
          <w:szCs w:val="28"/>
        </w:rPr>
        <w:t xml:space="preserve">                                   </w:t>
      </w:r>
      <w:r>
        <w:rPr>
          <w:b/>
          <w:sz w:val="40"/>
          <w:szCs w:val="40"/>
          <w:u w:val="single"/>
        </w:rPr>
        <w:t>Campanha da Fraternidade 2015</w:t>
      </w:r>
    </w:p>
    <w:p>
      <w:pPr>
        <w:pStyle w:val="style0"/>
        <w:ind w:firstLine="142" w:left="-142" w:right="0"/>
        <w:jc w:val="both"/>
      </w:pPr>
      <w:r>
        <w:rPr>
          <w:b/>
          <w:sz w:val="40"/>
          <w:szCs w:val="40"/>
          <w:u w:val="single"/>
        </w:rPr>
      </w:r>
    </w:p>
    <w:p>
      <w:pPr>
        <w:pStyle w:val="style0"/>
        <w:ind w:firstLine="142" w:left="-142" w:right="0"/>
        <w:jc w:val="both"/>
      </w:pPr>
      <w:r>
        <w:rPr>
          <w:b/>
          <w:sz w:val="28"/>
          <w:szCs w:val="28"/>
        </w:rPr>
        <w:t xml:space="preserve">                                       </w:t>
      </w:r>
      <w:r>
        <w:rPr/>
        <w:drawing>
          <wp:inline distB="0" distL="0" distR="0" distT="0">
            <wp:extent cx="3705225" cy="30099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</w:p>
    <w:p>
      <w:pPr>
        <w:pStyle w:val="style0"/>
        <w:ind w:firstLine="142" w:left="-142" w:right="0"/>
        <w:jc w:val="both"/>
      </w:pPr>
      <w:r>
        <w:rPr>
          <w:b/>
          <w:sz w:val="28"/>
          <w:szCs w:val="28"/>
        </w:rPr>
      </w:r>
    </w:p>
    <w:p>
      <w:pPr>
        <w:pStyle w:val="style0"/>
        <w:ind w:firstLine="142" w:left="-142" w:right="0"/>
        <w:jc w:val="both"/>
      </w:pPr>
      <w:r>
        <w:rPr>
          <w:b/>
          <w:sz w:val="28"/>
          <w:szCs w:val="28"/>
        </w:rPr>
        <w:t>“</w:t>
      </w:r>
      <w:r>
        <w:rPr>
          <w:b/>
          <w:sz w:val="28"/>
          <w:szCs w:val="28"/>
        </w:rPr>
        <w:t>O Filho do Homem não veio para ser servido, mas para servir e dar a vida em resgate por muitos”   Mc. 10, 45</w:t>
      </w:r>
    </w:p>
    <w:p>
      <w:pPr>
        <w:pStyle w:val="style0"/>
        <w:ind w:firstLine="142" w:left="-142" w:right="0"/>
        <w:jc w:val="both"/>
      </w:pPr>
      <w:r>
        <w:rPr>
          <w:b/>
          <w:sz w:val="28"/>
          <w:szCs w:val="28"/>
        </w:rPr>
      </w:r>
    </w:p>
    <w:p>
      <w:pPr>
        <w:pStyle w:val="style0"/>
        <w:ind w:firstLine="142" w:left="-142" w:right="0"/>
        <w:jc w:val="both"/>
      </w:pPr>
      <w:r>
        <w:rPr>
          <w:b/>
          <w:sz w:val="28"/>
          <w:szCs w:val="28"/>
        </w:rPr>
      </w:r>
    </w:p>
    <w:p>
      <w:pPr>
        <w:pStyle w:val="style25"/>
        <w:numPr>
          <w:ilvl w:val="0"/>
          <w:numId w:val="1"/>
        </w:numPr>
        <w:jc w:val="both"/>
      </w:pPr>
      <w:r>
        <w:rPr>
          <w:b/>
          <w:sz w:val="36"/>
          <w:szCs w:val="36"/>
          <w:u w:val="single"/>
        </w:rPr>
        <w:t>Introdução</w:t>
      </w:r>
    </w:p>
    <w:p>
      <w:pPr>
        <w:pStyle w:val="style25"/>
        <w:ind w:hanging="0" w:left="1080" w:right="0"/>
        <w:jc w:val="both"/>
      </w:pPr>
      <w:r>
        <w:rPr>
          <w:b/>
          <w:sz w:val="36"/>
          <w:szCs w:val="36"/>
        </w:rPr>
      </w:r>
    </w:p>
    <w:p>
      <w:pPr>
        <w:pStyle w:val="style25"/>
        <w:ind w:hanging="0" w:left="1080" w:right="0"/>
        <w:jc w:val="both"/>
      </w:pPr>
      <w:r>
        <w:rPr/>
        <w:drawing>
          <wp:inline distB="0" distL="0" distR="0" distT="0">
            <wp:extent cx="1171575" cy="117157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</w:p>
    <w:p>
      <w:pPr>
        <w:pStyle w:val="style25"/>
        <w:jc w:val="both"/>
      </w:pPr>
      <w:r>
        <w:rPr>
          <w:b/>
          <w:sz w:val="28"/>
          <w:szCs w:val="28"/>
        </w:rPr>
        <w:t>A CF. tem objetivos permanentes</w:t>
      </w:r>
    </w:p>
    <w:p>
      <w:pPr>
        <w:pStyle w:val="style25"/>
        <w:jc w:val="both"/>
      </w:pPr>
      <w:r>
        <w:rPr>
          <w:b/>
          <w:sz w:val="28"/>
          <w:szCs w:val="28"/>
        </w:rPr>
        <w:t>1. Despertar o espírito comunitário e cristão no povo de Deus.</w:t>
      </w:r>
    </w:p>
    <w:p>
      <w:pPr>
        <w:pStyle w:val="style25"/>
        <w:jc w:val="both"/>
      </w:pPr>
      <w:r>
        <w:rPr>
          <w:b/>
          <w:sz w:val="28"/>
          <w:szCs w:val="28"/>
        </w:rPr>
        <w:t>2. Educar para a vida em fraternidade.</w:t>
      </w:r>
    </w:p>
    <w:p>
      <w:pPr>
        <w:pStyle w:val="style25"/>
        <w:jc w:val="both"/>
      </w:pPr>
      <w:r>
        <w:rPr>
          <w:b/>
          <w:sz w:val="28"/>
          <w:szCs w:val="28"/>
        </w:rPr>
        <w:t>3. Renovar a consciência da responsabilidade de todos, pela ação da Igreja na Evangelização, na promoção humana, em vista de uma sociedade justa e solidária.</w:t>
      </w:r>
    </w:p>
    <w:p>
      <w:pPr>
        <w:pStyle w:val="style25"/>
        <w:jc w:val="both"/>
      </w:pPr>
      <w:r>
        <w:rPr>
          <w:b/>
          <w:sz w:val="28"/>
          <w:szCs w:val="28"/>
        </w:rPr>
      </w:r>
    </w:p>
    <w:p>
      <w:pPr>
        <w:pStyle w:val="style25"/>
        <w:jc w:val="both"/>
      </w:pPr>
      <w:r>
        <w:rPr>
          <w:b/>
          <w:sz w:val="28"/>
          <w:szCs w:val="28"/>
        </w:rPr>
        <w:t>Este ano a CF. nos convida a refletir, meditar e rezar a relação entre Igreja e Sociedade.</w:t>
      </w:r>
    </w:p>
    <w:p>
      <w:pPr>
        <w:pStyle w:val="style25"/>
        <w:jc w:val="both"/>
      </w:pPr>
      <w:r>
        <w:rPr>
          <w:b/>
          <w:sz w:val="28"/>
          <w:szCs w:val="28"/>
        </w:rPr>
      </w:r>
    </w:p>
    <w:p>
      <w:pPr>
        <w:pStyle w:val="style25"/>
        <w:jc w:val="both"/>
      </w:pPr>
      <w:r>
        <w:rPr>
          <w:b/>
          <w:sz w:val="36"/>
          <w:szCs w:val="36"/>
        </w:rPr>
        <w:t>Tema: Fraternidade: Igreja e Sociedade</w:t>
      </w:r>
    </w:p>
    <w:p>
      <w:pPr>
        <w:pStyle w:val="style25"/>
        <w:jc w:val="both"/>
      </w:pPr>
      <w:r>
        <w:rPr>
          <w:b/>
          <w:sz w:val="36"/>
          <w:szCs w:val="36"/>
        </w:rPr>
        <w:t>Lema: Eu vim para servir</w:t>
      </w:r>
    </w:p>
    <w:p>
      <w:pPr>
        <w:pStyle w:val="style25"/>
        <w:jc w:val="both"/>
      </w:pPr>
      <w:r>
        <w:rPr>
          <w:b/>
          <w:sz w:val="36"/>
          <w:szCs w:val="36"/>
        </w:rPr>
      </w:r>
    </w:p>
    <w:p>
      <w:pPr>
        <w:pStyle w:val="style25"/>
        <w:jc w:val="both"/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 CF. deste ano  retoma  os ensinamentos do Concílio Vaticano II que nos levam a ser uma Igreja:           Atuante          Participativa            Misericordiosa</w:t>
      </w:r>
    </w:p>
    <w:p>
      <w:pPr>
        <w:pStyle w:val="style25"/>
        <w:jc w:val="both"/>
      </w:pPr>
      <w:r>
        <w:rPr>
          <w:b/>
          <w:sz w:val="28"/>
          <w:szCs w:val="28"/>
        </w:rPr>
        <w:t xml:space="preserve"> </w:t>
      </w:r>
    </w:p>
    <w:p>
      <w:pPr>
        <w:pStyle w:val="style25"/>
        <w:jc w:val="both"/>
      </w:pPr>
      <w:r>
        <w:rPr>
          <w:b/>
          <w:sz w:val="28"/>
          <w:szCs w:val="28"/>
          <w:u w:val="single"/>
        </w:rPr>
      </w:r>
    </w:p>
    <w:p>
      <w:pPr>
        <w:pStyle w:val="style25"/>
        <w:jc w:val="both"/>
      </w:pPr>
      <w:r>
        <w:rPr>
          <w:b/>
          <w:sz w:val="28"/>
          <w:szCs w:val="28"/>
        </w:rPr>
      </w:r>
    </w:p>
    <w:p>
      <w:pPr>
        <w:pStyle w:val="style25"/>
        <w:numPr>
          <w:ilvl w:val="0"/>
          <w:numId w:val="1"/>
        </w:numPr>
        <w:jc w:val="both"/>
      </w:pPr>
      <w:r>
        <w:rPr>
          <w:b/>
          <w:sz w:val="36"/>
          <w:szCs w:val="36"/>
          <w:u w:val="single"/>
        </w:rPr>
        <w:t>A Sociedade Brasileira atual e seus desafios.</w:t>
      </w:r>
    </w:p>
    <w:p>
      <w:pPr>
        <w:pStyle w:val="style0"/>
        <w:jc w:val="both"/>
      </w:pPr>
      <w:r>
        <w:rPr>
          <w:b/>
          <w:sz w:val="28"/>
          <w:szCs w:val="28"/>
          <w:u w:val="single"/>
        </w:rPr>
      </w:r>
    </w:p>
    <w:p>
      <w:pPr>
        <w:pStyle w:val="style25"/>
        <w:jc w:val="both"/>
      </w:pP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Na sociedade brasileira, as mudanças são profundas e constantes gerando crises e angústias na vida pessoal, nas instituições e na sociedade em geral.</w:t>
      </w:r>
    </w:p>
    <w:p>
      <w:pPr>
        <w:pStyle w:val="style25"/>
        <w:jc w:val="both"/>
      </w:pP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A população brasileira ultrapassou os 200 milhões de habitantes.</w:t>
      </w:r>
    </w:p>
    <w:p>
      <w:pPr>
        <w:pStyle w:val="style25"/>
        <w:jc w:val="both"/>
      </w:pPr>
      <w:r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>Em 1960 era pouco mais de 70 milhões de pessoas.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>A urbanização da sociedade brasileira foi muito rápida.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Em 1940 a população urbana era de 31%, em 1960 de 45% e hoje 85%.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Cerca  de 44% de brasileiros vivem em regiões metropolitanas.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Essa rápida urbanização resultou em problemas como: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>favelização.  Poluição, violência, drogas, precárias condições sanitárias etc.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O mundo urbano é mais livre, ao mesmo tempo é o mais  escravo.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As pessoas  esquecem um pouco do humano.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No início do século XXI houve uma melhor articulação das políticas públicas.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Várias políticas sociais foram implantadas, trazendo avanços  sobretudo em     índices de   alimentação e saúde.                                                          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Alguns grupos que são minorias na sociedade brasileira merecem atenção: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- indígenas, quilombolas, portadores de necessidade especiais, pescadores,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povos nômades, dependentes químicos.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</w:r>
    </w:p>
    <w:p>
      <w:pPr>
        <w:pStyle w:val="style25"/>
        <w:ind w:hanging="0" w:left="1395" w:right="0"/>
        <w:jc w:val="both"/>
      </w:pPr>
      <w:r>
        <w:rPr/>
        <w:drawing>
          <wp:inline distB="0" distL="0" distR="0" distT="0">
            <wp:extent cx="1539875" cy="113347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8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</w:t>
      </w:r>
      <w:r>
        <w:rPr/>
        <w:drawing>
          <wp:inline distB="0" distL="0" distR="0" distT="0">
            <wp:extent cx="1438275" cy="109537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eastAsia="pt-BR"/>
        </w:rPr>
        <w:t xml:space="preserve">       </w:t>
      </w:r>
      <w:r>
        <w:rPr/>
        <w:drawing>
          <wp:inline distB="0" distL="0" distR="0" distT="0">
            <wp:extent cx="1473200" cy="11049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 xml:space="preserve">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 xml:space="preserve">A Igreja está presente em todo o território brasileiro e  em suas articulações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Pastorais.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>Organiza movimentos em defesa das pessoas, sobretudo dos mais    necessitados.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 </w:t>
      </w:r>
      <w:r>
        <w:rPr>
          <w:b/>
          <w:sz w:val="28"/>
          <w:szCs w:val="28"/>
        </w:rPr>
        <w:t>Lembremos a Pastoral da Criança, do idoso, carcerária, da saúde, entre outras.</w:t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  <w:u w:val="single"/>
        </w:rPr>
      </w:r>
    </w:p>
    <w:p>
      <w:pPr>
        <w:pStyle w:val="style0"/>
        <w:jc w:val="both"/>
      </w:pPr>
      <w:r>
        <w:rPr>
          <w:b/>
          <w:sz w:val="36"/>
          <w:szCs w:val="36"/>
        </w:rPr>
        <w:t xml:space="preserve">    </w:t>
      </w:r>
      <w:r>
        <w:rPr>
          <w:b/>
          <w:sz w:val="36"/>
          <w:szCs w:val="36"/>
          <w:u w:val="single"/>
        </w:rPr>
        <w:t xml:space="preserve">             </w:t>
      </w:r>
      <w:r>
        <w:rPr>
          <w:b/>
          <w:sz w:val="36"/>
          <w:szCs w:val="36"/>
          <w:u w:val="single"/>
        </w:rPr>
        <w:t>III. Relação Igreja – Sociedade à luz da Palavra de Deus.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 xml:space="preserve">O povo de Israel, na sua caminhada pelo deserto, fez a experiência de uma sociedade que atendia as necessidades básicas de todos. 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Ex. Maná (Ex. 1, 16)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 xml:space="preserve">Ano Sabático (Ex. 23, 10 – 13)          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A liderança de Moisés era partilhada para servir melhor o povo (Ex. 18, 24 – 27)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Os profetas falaram com clareza que não basta orar, oferecer sacrifícios para agradar a Deus. É preciso defender o direito do oprimido, do órfão, da viúva (Is. 1, 16 – 18; 58, 6) 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Jesus realizou sua missão, colocando em primeiro lugar os pobres, os fragilizados e os excluídos,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Mulheres  e crianças (Mc. 10, 13 – 16: 14, 9; Lc. 8, 1 – 3)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Prostitutas (Mt. 21, 31; Lc. 7, 32)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Doentes (cegos, mudos, surdos, encurvados, leprosos .... ) (Mc. 1, 32 – 34)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 xml:space="preserve">               </w:t>
      </w:r>
      <w:r>
        <w:rPr/>
        <w:drawing>
          <wp:inline distB="0" distL="0" distR="0" distT="0">
            <wp:extent cx="3639820" cy="203644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03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Jesus não se apresentou como quem queria prestígio, mas como servidor (Mt. 11, 28 – 29), e valorizou os humilhes (Mt. 11, 25) usou sua autoridade para servir. “Eu vim para servir” (Mc. 10, 45). “Quem quiser ser o maior estre vós, seja aquele que serve, e quem quiser ser o primeiro seja o escravo de todos, pois o Filho do Homem não veio para ser servido, mas para servir e dar a vida em resgate por muitos (Mc. 10, 42 – 45).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Para assumir a missão de Jesus, o discípulo precisa estar tomado pelo espírito de serviço (Mc. 8, 35).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Paulo foi um missionário eminentemente urbano.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Ele criou uma rede de comunidades eclesiais e de colaboradores nas periferias de grandes cidades do Império Romano, especialmente Antioquia, Corinto, Éfeso e Roma.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João XXIII usou a expressão “sinais dos tempos” para mostrar a relevância dos pobres, interpelando os cristãos a ouvi-los e dar-lhes vez e voz.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O Concílio Ecumênico Vaticano II indicou o caminho de servir a Deus, servindo o ser humano.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João Paulo II levou a opção pelos pobres à categoria de critérios do segmento de Cristo.</w:t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Bento XVI a elevou à categoria teológica ao dizer que a opção preferencial pelos pobres está implícita na fé Cristológica, no que se fez pobre por nós.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Papa Francisco propõe o empenho de “Uma Igreja pobre para os pobres”.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No Reino de Deus anunciado e concretizado por Jesus, as relações são iluminadas    pelo amor de Deus e se traduzem no cuidado e serviço de uns pelos outros. Todos são irmãos e irmãs , ninguém é excluído, ninguém passa fome e ninguém fica só. 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                       </w:t>
      </w:r>
      <w:r>
        <w:rPr>
          <w:b/>
          <w:sz w:val="36"/>
          <w:szCs w:val="36"/>
        </w:rPr>
        <w:t>IV -</w:t>
      </w:r>
      <w:r>
        <w:rPr>
          <w:b/>
          <w:sz w:val="36"/>
          <w:szCs w:val="36"/>
          <w:u w:val="single"/>
        </w:rPr>
        <w:t xml:space="preserve"> Uma Igreja em Saída</w:t>
      </w:r>
    </w:p>
    <w:p>
      <w:pPr>
        <w:pStyle w:val="style0"/>
        <w:jc w:val="both"/>
      </w:pPr>
      <w:r>
        <w:rPr>
          <w:b/>
          <w:sz w:val="36"/>
          <w:szCs w:val="36"/>
          <w:u w:val="single"/>
        </w:rPr>
      </w:r>
    </w:p>
    <w:p>
      <w:pPr>
        <w:pStyle w:val="style25"/>
        <w:ind w:hanging="0" w:left="1860" w:right="0"/>
        <w:jc w:val="both"/>
      </w:pPr>
      <w:r>
        <w:rPr>
          <w:b/>
          <w:sz w:val="28"/>
          <w:szCs w:val="28"/>
          <w:u w:val="single"/>
        </w:rPr>
      </w:r>
    </w:p>
    <w:p>
      <w:pPr>
        <w:pStyle w:val="style25"/>
        <w:ind w:hanging="0" w:left="1860" w:right="0"/>
        <w:jc w:val="both"/>
      </w:pPr>
      <w:r>
        <w:rPr>
          <w:b/>
          <w:sz w:val="28"/>
          <w:szCs w:val="28"/>
          <w:u w:val="single"/>
        </w:rPr>
        <w:t xml:space="preserve">      </w:t>
      </w:r>
      <w:bookmarkStart w:id="0" w:name="_GoBack"/>
      <w:bookmarkEnd w:id="0"/>
      <w:r>
        <w:rPr/>
        <w:drawing>
          <wp:inline distB="0" distL="0" distR="0" distT="0">
            <wp:extent cx="3721100" cy="279082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25"/>
        <w:ind w:hanging="0" w:left="1860" w:right="0"/>
        <w:jc w:val="both"/>
      </w:pPr>
      <w:r>
        <w:rPr>
          <w:b/>
          <w:sz w:val="28"/>
          <w:szCs w:val="28"/>
          <w:u w:val="single"/>
        </w:rPr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O Papa Francisco chama todos os batizados a uma conversão missionária.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</w:t>
      </w:r>
      <w:r>
        <w:rPr>
          <w:b/>
          <w:sz w:val="28"/>
          <w:szCs w:val="28"/>
        </w:rPr>
        <w:t xml:space="preserve">Pede  uma  Igreja em saída para testemunhar a  alegria do Evangelho, da vida em 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</w:t>
      </w:r>
      <w:r>
        <w:rPr>
          <w:b/>
          <w:sz w:val="28"/>
          <w:szCs w:val="28"/>
        </w:rPr>
        <w:t xml:space="preserve">Jesus   Cristo.                                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O Papa Francisco tem feito apelo em prol daqueles  que são descartados na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 </w:t>
      </w:r>
      <w:r>
        <w:rPr>
          <w:b/>
          <w:sz w:val="28"/>
          <w:szCs w:val="28"/>
        </w:rPr>
        <w:t>Sociedade.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 xml:space="preserve">Os cristãos são chamados a servir, no servir, transformar. Construir uma 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 xml:space="preserve">Sociedade sempre mais fraterna, justa e solidária. </w:t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No gesto do lava-pés, encontramos o modelo de serviço de todos os discípulos</w:t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            </w:t>
      </w:r>
      <w:r>
        <w:rPr>
          <w:b/>
          <w:sz w:val="28"/>
          <w:szCs w:val="28"/>
        </w:rPr>
        <w:t>missionários.</w:t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  <w:t>Toda pastoral foi criada para um determinado serviço na Igreja.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As pastorais devem sempre voltar às fontes e passar por uma constante renovação, porque o dia a dia às vezes nos conduz a sermos mais administradores do que pastores, servidores.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Nosso papel é estar sempre a serviço do outro, escutando, elogiando, caminhando lado a lado e ajudando o outro a se tornar um discípulo missionário a serviço do Reino.</w:t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>Temos só um poder, o do servo.</w:t>
      </w:r>
    </w:p>
    <w:p>
      <w:pPr>
        <w:pStyle w:val="style0"/>
        <w:ind w:hanging="0" w:left="1035" w:right="0"/>
        <w:jc w:val="both"/>
      </w:pPr>
      <w:r>
        <w:rPr/>
        <w:drawing>
          <wp:inline distB="0" distL="0" distR="0" distT="0">
            <wp:extent cx="6667500" cy="333375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    </w:t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25"/>
        <w:ind w:hanging="0" w:left="1395" w:right="0"/>
        <w:jc w:val="both"/>
      </w:pPr>
      <w:r>
        <w:rPr>
          <w:b/>
          <w:sz w:val="28"/>
          <w:szCs w:val="28"/>
        </w:rPr>
      </w:r>
    </w:p>
    <w:p>
      <w:pPr>
        <w:pStyle w:val="style0"/>
        <w:ind w:hanging="0" w:left="1035" w:right="0"/>
        <w:jc w:val="both"/>
      </w:pPr>
      <w:r>
        <w:rPr>
          <w:b/>
          <w:sz w:val="28"/>
          <w:szCs w:val="28"/>
        </w:rPr>
        <w:t xml:space="preserve">      </w:t>
      </w:r>
    </w:p>
    <w:p>
      <w:pPr>
        <w:pStyle w:val="style0"/>
        <w:jc w:val="both"/>
      </w:pPr>
      <w:r>
        <w:rPr>
          <w:b/>
          <w:sz w:val="28"/>
          <w:szCs w:val="28"/>
        </w:rPr>
      </w:r>
    </w:p>
    <w:p>
      <w:pPr>
        <w:pStyle w:val="style0"/>
        <w:jc w:val="both"/>
      </w:pPr>
      <w:r>
        <w:rPr>
          <w:b/>
          <w:sz w:val="28"/>
          <w:szCs w:val="28"/>
        </w:rPr>
        <w:t xml:space="preserve">   </w:t>
      </w:r>
    </w:p>
    <w:sectPr>
      <w:type w:val="nextPage"/>
      <w:pgSz w:h="16838" w:w="11906"/>
      <w:pgMar w:bottom="1417" w:footer="0" w:gutter="0" w:header="0" w:left="567" w:right="566" w:top="426"/>
      <w:pgNumType w:fmt="decimal"/>
      <w:formProt w:val="false"/>
      <w:textDirection w:val="lrTb"/>
      <w:docGrid w:charSpace="4096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  <w:font w:name="Calibri">
    <w:charset w:val="80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upperRoman"/>
      <w:lvlText w:val="%1."/>
      <w:lvlJc w:val="left"/>
      <w:pPr>
        <w:ind w:hanging="720" w:left="1080"/>
      </w:pPr>
      <w:rPr>
        <w:u w:val="single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</w:numbering>
</file>

<file path=word/styles.xml><?xml version="1.0" encoding="utf-8"?>
<w:styles xmlns:w="http://schemas.openxmlformats.org/wordprocessingml/2006/main">
  <w:style w:styleId="style0" w:type="paragraph">
    <w:name w:val="Padrão"/>
    <w:next w:val="style0"/>
    <w:pPr>
      <w:widowControl/>
      <w:tabs>
        <w:tab w:leader="none" w:pos="708" w:val="left"/>
      </w:tabs>
      <w:suppressAutoHyphens w:val="true"/>
      <w:spacing w:after="200" w:before="0" w:line="276" w:lineRule="auto"/>
    </w:pPr>
    <w:rPr>
      <w:rFonts w:ascii="Calibri" w:cs="" w:eastAsia="Droid Sans" w:hAnsi="Calibri"/>
      <w:color w:val="auto"/>
      <w:sz w:val="22"/>
      <w:szCs w:val="22"/>
      <w:lang w:bidi="ar-SA" w:eastAsia="en-US" w:val="pt-BR"/>
    </w:rPr>
  </w:style>
  <w:style w:styleId="style15" w:type="character">
    <w:name w:val="Default Paragraph Font"/>
    <w:next w:val="style15"/>
    <w:rPr/>
  </w:style>
  <w:style w:styleId="style16" w:type="character">
    <w:name w:val="Texto de balão Char"/>
    <w:basedOn w:val="style15"/>
    <w:next w:val="style16"/>
    <w:rPr>
      <w:rFonts w:ascii="Tahoma" w:cs="Tahoma" w:hAnsi="Tahoma"/>
      <w:sz w:val="16"/>
      <w:szCs w:val="16"/>
    </w:rPr>
  </w:style>
  <w:style w:styleId="style17" w:type="character">
    <w:name w:val="ListLabel 1"/>
    <w:next w:val="style17"/>
    <w:rPr>
      <w:rFonts w:cs=""/>
    </w:rPr>
  </w:style>
  <w:style w:styleId="style18" w:type="character">
    <w:name w:val="ListLabel 2"/>
    <w:next w:val="style18"/>
    <w:rPr>
      <w:rFonts w:cs="Courier New"/>
    </w:rPr>
  </w:style>
  <w:style w:styleId="style19" w:type="character">
    <w:name w:val="ListLabel 3"/>
    <w:next w:val="style19"/>
    <w:rPr>
      <w:u w:val="single"/>
    </w:rPr>
  </w:style>
  <w:style w:styleId="style20" w:type="paragraph">
    <w:name w:val="Título"/>
    <w:basedOn w:val="style0"/>
    <w:next w:val="style21"/>
    <w:pPr>
      <w:keepNext/>
      <w:spacing w:after="120" w:before="240"/>
    </w:pPr>
    <w:rPr>
      <w:rFonts w:ascii="Arial" w:cs="FreeSans" w:eastAsia="Droid Sans" w:hAnsi="Arial"/>
      <w:sz w:val="28"/>
      <w:szCs w:val="28"/>
    </w:rPr>
  </w:style>
  <w:style w:styleId="style21" w:type="paragraph">
    <w:name w:val="Corpo de texto"/>
    <w:basedOn w:val="style0"/>
    <w:next w:val="style21"/>
    <w:pPr>
      <w:spacing w:after="120" w:before="0"/>
    </w:pPr>
    <w:rPr/>
  </w:style>
  <w:style w:styleId="style22" w:type="paragraph">
    <w:name w:val="Lista"/>
    <w:basedOn w:val="style21"/>
    <w:next w:val="style22"/>
    <w:pPr/>
    <w:rPr>
      <w:rFonts w:cs="FreeSans"/>
    </w:rPr>
  </w:style>
  <w:style w:styleId="style23" w:type="paragraph">
    <w:name w:val="Legenda"/>
    <w:basedOn w:val="style0"/>
    <w:next w:val="style23"/>
    <w:pPr>
      <w:suppressLineNumbers/>
      <w:spacing w:after="120" w:before="120"/>
    </w:pPr>
    <w:rPr>
      <w:rFonts w:cs="FreeSans"/>
      <w:i/>
      <w:iCs/>
      <w:sz w:val="24"/>
      <w:szCs w:val="24"/>
    </w:rPr>
  </w:style>
  <w:style w:styleId="style24" w:type="paragraph">
    <w:name w:val="Índice"/>
    <w:basedOn w:val="style0"/>
    <w:next w:val="style24"/>
    <w:pPr>
      <w:suppressLineNumbers/>
    </w:pPr>
    <w:rPr>
      <w:rFonts w:cs="FreeSans"/>
    </w:rPr>
  </w:style>
  <w:style w:styleId="style25" w:type="paragraph">
    <w:name w:val="List Paragraph"/>
    <w:basedOn w:val="style0"/>
    <w:next w:val="style25"/>
    <w:pPr>
      <w:ind w:hanging="0" w:left="720" w:right="0"/>
    </w:pPr>
    <w:rPr/>
  </w:style>
  <w:style w:styleId="style26" w:type="paragraph">
    <w:name w:val="Balloon Text"/>
    <w:basedOn w:val="style0"/>
    <w:next w:val="style26"/>
    <w:pPr>
      <w:spacing w:after="0" w:before="0" w:line="100" w:lineRule="atLeast"/>
    </w:pPr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pn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numbering" Target="numbering.xml"/><Relationship Id="rId11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2014-12-09T10:52:00.00Z</dcterms:created>
  <dc:creator>Brian</dc:creator>
  <cp:lastModifiedBy>Brian</cp:lastModifiedBy>
  <dcterms:modified xsi:type="dcterms:W3CDTF">2014-12-21T16:40:00.00Z</dcterms:modified>
  <cp:revision>13</cp:revision>
</cp:coreProperties>
</file>